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Grant Launch Meeting Agenda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yellow"/>
          <w:rtl w:val="0"/>
        </w:rPr>
        <w:t xml:space="preserve">Instructions: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This meeting officially kicks off a new grant. It should be led by the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yellow"/>
          <w:rtl w:val="0"/>
        </w:rPr>
        <w:t xml:space="preserve"> Grant Lead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 and attended by key staff from Programs, Finance, and other relevant departments (e.g., Marketing) involved in grant execution. To ensure accessibility, maintain the agenda in a shared drive. Use it to document notes and action items, creating an ongoing reference for the team.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b w:val="1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Grant Overview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Name of Funder, Grant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Summary of submitted proposal: objectives, deliverables, budget, grant period, M&amp;E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0000ff"/>
          <w:highlight w:val="white"/>
          <w:rtl w:val="0"/>
        </w:rPr>
        <w:t xml:space="preserve">Link to folder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with Award Letter and final materials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Programmatic, M&amp;E commitments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Partner dynamics/considerations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Risks, opportunities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b w:val="1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Budget and financial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Reminder of budget components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pend planning any 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ey budget lines as needed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Compliance and reporting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eporting dates and requirements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compliance items from Grant Agreement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Grant Team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Names and Roles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See Grant Team Roles and Responsibilities Reference Document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Grant Lead: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Grant Writer: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Programs Rep: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Rep: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Rep: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Funder stewardship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Required and desired communications with funder: check-ins, reporting, meetings, renewal conversations. Schedule with relevant CRM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